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9030.17517938925"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3090"/>
        <w:gridCol w:w="3074.779586658306"/>
        <w:gridCol w:w="1965.3955927309457"/>
        <w:tblGridChange w:id="0">
          <w:tblGrid>
            <w:gridCol w:w="900"/>
            <w:gridCol w:w="3090"/>
            <w:gridCol w:w="3074.779586658306"/>
            <w:gridCol w:w="1965.3955927309457"/>
          </w:tblGrid>
        </w:tblGridChange>
      </w:tblGrid>
      <w:tr>
        <w:trPr>
          <w:cantSplit w:val="0"/>
          <w:trHeight w:val="24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9">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Management Information returns to be returned to CCS by the 7th working day of each month</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in terms of completeness of income,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time of receipt by CCS (as evidenced within the CCS’s data warehouse (MISO)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E">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valid CCS invoices to be paid within 30 calendar days of issue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5">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a member of the Driving for Better Business programme, and will be in a position to evidence completion of the programme throughout the framework term.</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Accuracy,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C">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membership and progress through the programmes 7 steps to better management.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keepNext w:val="1"/>
              <w:tabs>
                <w:tab w:val="left" w:pos="1134"/>
              </w:tabs>
              <w:spacing w:after="80" w:before="80" w:line="240" w:lineRule="auto"/>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E">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requested, complete an annual modern slavery risk assessment, using the Modern Slavery Assessment Tool (MSAT) or an equivalent toolkit as specified by CCS and subsequently provide a risk mitigation plan addressing any identified risks.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F">
            <w:pPr>
              <w:keepNext w:val="1"/>
              <w:tabs>
                <w:tab w:val="left" w:pos="1134"/>
              </w:tabs>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completion, timeliness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0">
            <w:pPr>
              <w:keepNext w:val="1"/>
              <w:tabs>
                <w:tab w:val="left" w:pos="1134"/>
              </w:tabs>
              <w:spacing w:after="80" w:before="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Submit a risk mitigation plan to address any identified risks which is acceptable to CCS</w:t>
            </w:r>
          </w:p>
        </w:tc>
      </w:tr>
    </w:tbl>
    <w:p w:rsidR="00000000" w:rsidDel="00000000" w:rsidP="00000000" w:rsidRDefault="00000000" w:rsidRPr="00000000" w14:paraId="00000041">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5">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6">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w:t>
      </w:r>
      <w:r w:rsidDel="00000000" w:rsidR="00000000" w:rsidRPr="00000000">
        <w:rPr>
          <w:rFonts w:ascii="Arial" w:cs="Arial" w:eastAsia="Arial" w:hAnsi="Arial"/>
          <w:sz w:val="24"/>
          <w:szCs w:val="24"/>
          <w:rtl w:val="0"/>
        </w:rPr>
        <w:t xml:space="preserve">Any such oversight shall be agreed in each Call-Off Contract.</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opaFXpqPofSv2ZmShpXw/c2oKA==">AMUW2mX7YtbHdQMLoP17UI5Kv+RKcaRDVPc3OZnk3fkSqPZy3mdFQns4oJK7SNtArpK4AXT7QUukvGjYhPuSv1t4+gA+HLLZbl7t1Fed3ingIY4nmAvpmZKaGxbUvfs59oKHG18nIFa4b6jb2mmFnVb7ASc24DP6+6BDtwT8ju4oYH3RPXouxASWzZRPzGqNUF+4cfwTIUpgDkFIoYsAlpfwMUZalpbgsITxwGFK4RXZJUW4GIHND2o=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